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45" w:rsidRDefault="004E1005" w:rsidP="004E1005">
      <w:pPr>
        <w:jc w:val="center"/>
        <w:rPr>
          <w:rFonts w:ascii="Times New Roman" w:hAnsi="Times New Roman" w:cs="Times New Roman"/>
        </w:rPr>
      </w:pPr>
      <w:r>
        <w:rPr>
          <w:rFonts w:ascii="Times New Roman" w:hAnsi="Times New Roman" w:cs="Times New Roman"/>
        </w:rPr>
        <w:t>Part 2</w:t>
      </w:r>
      <w:bookmarkStart w:id="0" w:name="_GoBack"/>
      <w:bookmarkEnd w:id="0"/>
    </w:p>
    <w:p w:rsidR="004E1005" w:rsidRDefault="000E346D" w:rsidP="004E1005">
      <w:pPr>
        <w:rPr>
          <w:rFonts w:ascii="Times New Roman" w:hAnsi="Times New Roman" w:cs="Times New Roman"/>
        </w:rPr>
      </w:pPr>
      <w:r>
        <w:rPr>
          <w:rFonts w:ascii="Times New Roman" w:hAnsi="Times New Roman" w:cs="Times New Roman"/>
        </w:rPr>
        <w:t>The remaining 5 remaining tax deduction opportunities frequently overlooked are:</w:t>
      </w:r>
    </w:p>
    <w:p w:rsidR="000E346D" w:rsidRDefault="000E346D" w:rsidP="004E1005">
      <w:pPr>
        <w:rPr>
          <w:rFonts w:ascii="Times New Roman" w:hAnsi="Times New Roman" w:cs="Times New Roman"/>
        </w:rPr>
      </w:pPr>
      <w:r>
        <w:rPr>
          <w:rFonts w:ascii="Times New Roman" w:hAnsi="Times New Roman" w:cs="Times New Roman"/>
        </w:rPr>
        <w:t>6. Travel</w:t>
      </w:r>
    </w:p>
    <w:p w:rsidR="000E346D" w:rsidRDefault="000E346D" w:rsidP="004E1005">
      <w:pPr>
        <w:rPr>
          <w:rFonts w:ascii="Times New Roman" w:hAnsi="Times New Roman" w:cs="Times New Roman"/>
        </w:rPr>
      </w:pPr>
      <w:r>
        <w:rPr>
          <w:rFonts w:ascii="Times New Roman" w:hAnsi="Times New Roman" w:cs="Times New Roman"/>
        </w:rPr>
        <w:t>When you travel for business, you can deduct many expenses, including the cost of plane fare, costs of operating your car, taxis, lodging, meals, shipping business materials, cleaning clothes, telephone calls, internet access and gratuities.</w:t>
      </w:r>
    </w:p>
    <w:p w:rsidR="000E346D" w:rsidRDefault="000E346D" w:rsidP="004E1005">
      <w:pPr>
        <w:rPr>
          <w:rFonts w:ascii="Times New Roman" w:hAnsi="Times New Roman" w:cs="Times New Roman"/>
        </w:rPr>
      </w:pPr>
      <w:r>
        <w:rPr>
          <w:rFonts w:ascii="Times New Roman" w:hAnsi="Times New Roman" w:cs="Times New Roman"/>
        </w:rPr>
        <w:t xml:space="preserve">What about combining business and pleasure? </w:t>
      </w:r>
      <w:r w:rsidR="008D4FB9">
        <w:rPr>
          <w:rFonts w:ascii="Times New Roman" w:hAnsi="Times New Roman" w:cs="Times New Roman"/>
        </w:rPr>
        <w:t>It’s</w:t>
      </w:r>
      <w:r>
        <w:rPr>
          <w:rFonts w:ascii="Times New Roman" w:hAnsi="Times New Roman" w:cs="Times New Roman"/>
        </w:rPr>
        <w:t xml:space="preserve"> okay, as long as business is the primary purpose of the trip. However, if you take your family along, be careful to deduct only your expenses. </w:t>
      </w:r>
    </w:p>
    <w:p w:rsidR="000E346D" w:rsidRDefault="000E346D" w:rsidP="004E1005">
      <w:pPr>
        <w:rPr>
          <w:rFonts w:ascii="Times New Roman" w:hAnsi="Times New Roman" w:cs="Times New Roman"/>
        </w:rPr>
      </w:pPr>
      <w:r>
        <w:rPr>
          <w:rFonts w:ascii="Times New Roman" w:hAnsi="Times New Roman" w:cs="Times New Roman"/>
        </w:rPr>
        <w:t>7. New Equipment</w:t>
      </w:r>
    </w:p>
    <w:p w:rsidR="000E346D" w:rsidRDefault="000E346D" w:rsidP="004E1005">
      <w:pPr>
        <w:rPr>
          <w:rFonts w:ascii="Times New Roman" w:hAnsi="Times New Roman" w:cs="Times New Roman"/>
        </w:rPr>
      </w:pPr>
      <w:r>
        <w:rPr>
          <w:rFonts w:ascii="Times New Roman" w:hAnsi="Times New Roman" w:cs="Times New Roman"/>
        </w:rPr>
        <w:t xml:space="preserve">Some small businesses can write off the full cost of some assets in the year they buy them, rather than capitalizing them, or deducting their cost over a number of years. Under Section 179 of the Internal Revenue Code, you can currently deduct up to an annual threshold amount the cost of equipment and certain business assets you purchase and place in service that year. </w:t>
      </w:r>
      <w:r w:rsidR="00B97327">
        <w:rPr>
          <w:rFonts w:ascii="Times New Roman" w:hAnsi="Times New Roman" w:cs="Times New Roman"/>
        </w:rPr>
        <w:t>Some assets don’t qualify for the Section 179 deduction, including real estate, inventory bought for resale, and property bought from a close relative.</w:t>
      </w:r>
    </w:p>
    <w:p w:rsidR="00B97327" w:rsidRDefault="00B97327" w:rsidP="004E1005">
      <w:pPr>
        <w:rPr>
          <w:rFonts w:ascii="Times New Roman" w:hAnsi="Times New Roman" w:cs="Times New Roman"/>
        </w:rPr>
      </w:pPr>
      <w:r>
        <w:rPr>
          <w:rFonts w:ascii="Times New Roman" w:hAnsi="Times New Roman" w:cs="Times New Roman"/>
        </w:rPr>
        <w:t>For 2014, the Section 179 threshold amount has been restored to its original $25,000 limit, adjusted for inflation. This is a dramatic decrease from recent years when the annual threshold was as high as $500,000 (2010 -2013). Congress raised the limits in recent years to help small businesses in a struggling economy and may increase the limit in 2015. Watch for updates.</w:t>
      </w:r>
    </w:p>
    <w:p w:rsidR="00B97327" w:rsidRDefault="00B97327" w:rsidP="004E1005">
      <w:pPr>
        <w:rPr>
          <w:rFonts w:ascii="Times New Roman" w:hAnsi="Times New Roman" w:cs="Times New Roman"/>
        </w:rPr>
      </w:pPr>
      <w:r>
        <w:rPr>
          <w:rFonts w:ascii="Times New Roman" w:hAnsi="Times New Roman" w:cs="Times New Roman"/>
        </w:rPr>
        <w:t>8. Moving Expenses</w:t>
      </w:r>
    </w:p>
    <w:p w:rsidR="00B97327" w:rsidRDefault="00B97327" w:rsidP="004E1005">
      <w:pPr>
        <w:rPr>
          <w:rFonts w:ascii="Times New Roman" w:hAnsi="Times New Roman" w:cs="Times New Roman"/>
        </w:rPr>
      </w:pPr>
      <w:r>
        <w:rPr>
          <w:rFonts w:ascii="Times New Roman" w:hAnsi="Times New Roman" w:cs="Times New Roman"/>
        </w:rPr>
        <w:t>If you move because of your business or job, you may be able to deduct certain moving costs that would otherwise be non-deductible personal living expenses. To qualify, you must have moved in connection with your business (or job, if you’re an employee of your own corporation or someone else’s business). The new workplace must be at least 50 miles farther from your old home than your old workplace was. Technically, moving expenses aren’t business expenses; there’s a special place to list them on your Form 1040 tax return. Consult with your accountant or tax preparer for details.</w:t>
      </w:r>
    </w:p>
    <w:p w:rsidR="00B97327" w:rsidRDefault="00B97327" w:rsidP="004E1005">
      <w:pPr>
        <w:rPr>
          <w:rFonts w:ascii="Times New Roman" w:hAnsi="Times New Roman" w:cs="Times New Roman"/>
        </w:rPr>
      </w:pPr>
    </w:p>
    <w:p w:rsidR="00B97327" w:rsidRDefault="00B97327" w:rsidP="004E1005">
      <w:pPr>
        <w:rPr>
          <w:rFonts w:ascii="Times New Roman" w:hAnsi="Times New Roman" w:cs="Times New Roman"/>
        </w:rPr>
      </w:pPr>
      <w:r>
        <w:rPr>
          <w:rFonts w:ascii="Times New Roman" w:hAnsi="Times New Roman" w:cs="Times New Roman"/>
        </w:rPr>
        <w:t xml:space="preserve">9. </w:t>
      </w:r>
      <w:r w:rsidR="00817252">
        <w:rPr>
          <w:rFonts w:ascii="Times New Roman" w:hAnsi="Times New Roman" w:cs="Times New Roman"/>
        </w:rPr>
        <w:t>Charitable Contributions</w:t>
      </w:r>
    </w:p>
    <w:p w:rsidR="00817252" w:rsidRDefault="00817252" w:rsidP="004E1005">
      <w:pPr>
        <w:rPr>
          <w:rFonts w:ascii="Times New Roman" w:hAnsi="Times New Roman" w:cs="Times New Roman"/>
        </w:rPr>
      </w:pPr>
      <w:r>
        <w:rPr>
          <w:rFonts w:ascii="Times New Roman" w:hAnsi="Times New Roman" w:cs="Times New Roman"/>
        </w:rPr>
        <w:t>If your business is a partnership, a limited liability company, or an S corporation (a corporation that has chosen to be taxed like a partnership) your business can make a charitable contribution and pass the deduction through to you, to claim on your individual tax return. If you own a regular (C) corporation, the corporation can deduct the charitable contributions.</w:t>
      </w:r>
    </w:p>
    <w:p w:rsidR="00817252" w:rsidRDefault="00817252" w:rsidP="004E1005">
      <w:pPr>
        <w:rPr>
          <w:rFonts w:ascii="Times New Roman" w:hAnsi="Times New Roman" w:cs="Times New Roman"/>
        </w:rPr>
      </w:pPr>
      <w:r>
        <w:rPr>
          <w:rFonts w:ascii="Times New Roman" w:hAnsi="Times New Roman" w:cs="Times New Roman"/>
        </w:rPr>
        <w:t>Tip – If you have old computers or office furniture, giving it to a school or nonprofit organization can yield goodwill plus a tax benefit. However, if the equipment has been fully depreciated (written off), you can’t claim a deduction.</w:t>
      </w:r>
    </w:p>
    <w:p w:rsidR="00817252" w:rsidRDefault="00817252" w:rsidP="004E1005">
      <w:pPr>
        <w:rPr>
          <w:rFonts w:ascii="Times New Roman" w:hAnsi="Times New Roman" w:cs="Times New Roman"/>
        </w:rPr>
      </w:pPr>
      <w:r>
        <w:rPr>
          <w:rFonts w:ascii="Times New Roman" w:hAnsi="Times New Roman" w:cs="Times New Roman"/>
        </w:rPr>
        <w:lastRenderedPageBreak/>
        <w:t>10. Advertising and Promotion</w:t>
      </w:r>
    </w:p>
    <w:p w:rsidR="00817252" w:rsidRDefault="00817252" w:rsidP="004E1005">
      <w:pPr>
        <w:rPr>
          <w:rFonts w:ascii="Times New Roman" w:hAnsi="Times New Roman" w:cs="Times New Roman"/>
        </w:rPr>
      </w:pPr>
      <w:r>
        <w:rPr>
          <w:rFonts w:ascii="Times New Roman" w:hAnsi="Times New Roman" w:cs="Times New Roman"/>
        </w:rPr>
        <w:t xml:space="preserve">The cost of ordinary advertising of your goods and services – business cards, yellow page ads, and so on – is deductible as a current business expense. Promotional costs that create business goodwill – for example, sponsoring a peewee football team – are also deductible as long as there is a clear connection between the sponsorship and your business. For example, naming the team the “Southwest Auto Parts </w:t>
      </w:r>
      <w:r w:rsidR="00283B8A">
        <w:rPr>
          <w:rFonts w:ascii="Times New Roman" w:hAnsi="Times New Roman" w:cs="Times New Roman"/>
        </w:rPr>
        <w:t>Bears” or listing the business name in the program is evidence of the promotion effort.</w:t>
      </w:r>
    </w:p>
    <w:p w:rsidR="00283B8A" w:rsidRDefault="00283B8A" w:rsidP="004E1005">
      <w:pPr>
        <w:rPr>
          <w:rFonts w:ascii="Times New Roman" w:hAnsi="Times New Roman" w:cs="Times New Roman"/>
        </w:rPr>
      </w:pPr>
      <w:r>
        <w:rPr>
          <w:rFonts w:ascii="Times New Roman" w:hAnsi="Times New Roman" w:cs="Times New Roman"/>
        </w:rPr>
        <w:t>Other Frequently Overlooked Business Expenses</w:t>
      </w:r>
    </w:p>
    <w:p w:rsidR="00283B8A" w:rsidRDefault="00283B8A" w:rsidP="00283B8A">
      <w:pPr>
        <w:pStyle w:val="ListParagraph"/>
        <w:numPr>
          <w:ilvl w:val="0"/>
          <w:numId w:val="2"/>
        </w:numPr>
        <w:rPr>
          <w:rFonts w:ascii="Times New Roman" w:hAnsi="Times New Roman" w:cs="Times New Roman"/>
        </w:rPr>
      </w:pPr>
      <w:r>
        <w:rPr>
          <w:rFonts w:ascii="Times New Roman" w:hAnsi="Times New Roman" w:cs="Times New Roman"/>
        </w:rPr>
        <w:t>Bank service charges</w:t>
      </w:r>
    </w:p>
    <w:p w:rsidR="00283B8A" w:rsidRDefault="00283B8A" w:rsidP="00283B8A">
      <w:pPr>
        <w:pStyle w:val="ListParagraph"/>
        <w:numPr>
          <w:ilvl w:val="0"/>
          <w:numId w:val="2"/>
        </w:numPr>
        <w:rPr>
          <w:rFonts w:ascii="Times New Roman" w:hAnsi="Times New Roman" w:cs="Times New Roman"/>
        </w:rPr>
      </w:pPr>
      <w:r>
        <w:rPr>
          <w:rFonts w:ascii="Times New Roman" w:hAnsi="Times New Roman" w:cs="Times New Roman"/>
        </w:rPr>
        <w:t>Business association dues</w:t>
      </w:r>
    </w:p>
    <w:p w:rsidR="00283B8A" w:rsidRDefault="00283B8A" w:rsidP="00283B8A">
      <w:pPr>
        <w:pStyle w:val="ListParagraph"/>
        <w:numPr>
          <w:ilvl w:val="0"/>
          <w:numId w:val="2"/>
        </w:numPr>
        <w:rPr>
          <w:rFonts w:ascii="Times New Roman" w:hAnsi="Times New Roman" w:cs="Times New Roman"/>
        </w:rPr>
      </w:pPr>
      <w:r>
        <w:rPr>
          <w:rFonts w:ascii="Times New Roman" w:hAnsi="Times New Roman" w:cs="Times New Roman"/>
        </w:rPr>
        <w:t>Business related magazines, books and tapes or DVD’s</w:t>
      </w:r>
    </w:p>
    <w:p w:rsidR="00283B8A" w:rsidRDefault="00283B8A" w:rsidP="00283B8A">
      <w:pPr>
        <w:pStyle w:val="ListParagraph"/>
        <w:numPr>
          <w:ilvl w:val="0"/>
          <w:numId w:val="2"/>
        </w:numPr>
        <w:rPr>
          <w:rFonts w:ascii="Times New Roman" w:hAnsi="Times New Roman" w:cs="Times New Roman"/>
        </w:rPr>
      </w:pPr>
      <w:r>
        <w:rPr>
          <w:rFonts w:ascii="Times New Roman" w:hAnsi="Times New Roman" w:cs="Times New Roman"/>
        </w:rPr>
        <w:t>Consultant fees</w:t>
      </w:r>
    </w:p>
    <w:p w:rsidR="00283B8A" w:rsidRDefault="00283B8A" w:rsidP="00283B8A">
      <w:pPr>
        <w:pStyle w:val="ListParagraph"/>
        <w:numPr>
          <w:ilvl w:val="0"/>
          <w:numId w:val="2"/>
        </w:numPr>
        <w:rPr>
          <w:rFonts w:ascii="Times New Roman" w:hAnsi="Times New Roman" w:cs="Times New Roman"/>
        </w:rPr>
      </w:pPr>
      <w:r>
        <w:rPr>
          <w:rFonts w:ascii="Times New Roman" w:hAnsi="Times New Roman" w:cs="Times New Roman"/>
        </w:rPr>
        <w:t>Office Supplies and online computer services related to business</w:t>
      </w:r>
    </w:p>
    <w:p w:rsidR="00283B8A" w:rsidRDefault="00283B8A" w:rsidP="00283B8A">
      <w:pPr>
        <w:pStyle w:val="ListParagraph"/>
        <w:numPr>
          <w:ilvl w:val="0"/>
          <w:numId w:val="2"/>
        </w:numPr>
        <w:rPr>
          <w:rFonts w:ascii="Times New Roman" w:hAnsi="Times New Roman" w:cs="Times New Roman"/>
        </w:rPr>
      </w:pPr>
      <w:r>
        <w:rPr>
          <w:rFonts w:ascii="Times New Roman" w:hAnsi="Times New Roman" w:cs="Times New Roman"/>
        </w:rPr>
        <w:t>Seminars and trade shows</w:t>
      </w:r>
    </w:p>
    <w:p w:rsidR="00283B8A" w:rsidRDefault="00283B8A" w:rsidP="00283B8A">
      <w:pPr>
        <w:pStyle w:val="ListParagraph"/>
        <w:numPr>
          <w:ilvl w:val="0"/>
          <w:numId w:val="2"/>
        </w:numPr>
        <w:rPr>
          <w:rFonts w:ascii="Times New Roman" w:hAnsi="Times New Roman" w:cs="Times New Roman"/>
        </w:rPr>
      </w:pPr>
      <w:r>
        <w:rPr>
          <w:rFonts w:ascii="Times New Roman" w:hAnsi="Times New Roman" w:cs="Times New Roman"/>
        </w:rPr>
        <w:t>Promotion and publicity</w:t>
      </w:r>
    </w:p>
    <w:p w:rsidR="00283B8A" w:rsidRDefault="00283B8A" w:rsidP="00283B8A">
      <w:pPr>
        <w:rPr>
          <w:rFonts w:ascii="Times New Roman" w:hAnsi="Times New Roman" w:cs="Times New Roman"/>
        </w:rPr>
      </w:pPr>
      <w:r>
        <w:rPr>
          <w:rFonts w:ascii="Times New Roman" w:hAnsi="Times New Roman" w:cs="Times New Roman"/>
        </w:rPr>
        <w:t>As always, consult with your accountant or tax preparer for guidance and advice.</w:t>
      </w:r>
    </w:p>
    <w:p w:rsidR="00283B8A" w:rsidRPr="00283B8A" w:rsidRDefault="00283B8A" w:rsidP="00283B8A">
      <w:pPr>
        <w:rPr>
          <w:rFonts w:ascii="Times New Roman" w:hAnsi="Times New Roman" w:cs="Times New Roman"/>
        </w:rPr>
      </w:pPr>
      <w:r>
        <w:rPr>
          <w:rFonts w:ascii="Times New Roman" w:hAnsi="Times New Roman" w:cs="Times New Roman"/>
        </w:rPr>
        <w:t>Material for this article provided in part by Stephen Fishman, J.D.</w:t>
      </w:r>
    </w:p>
    <w:sectPr w:rsidR="00283B8A" w:rsidRPr="00283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3CD"/>
    <w:multiLevelType w:val="hybridMultilevel"/>
    <w:tmpl w:val="0870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FB1ECC"/>
    <w:multiLevelType w:val="hybridMultilevel"/>
    <w:tmpl w:val="509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05"/>
    <w:rsid w:val="000E346D"/>
    <w:rsid w:val="001D5F45"/>
    <w:rsid w:val="00283B8A"/>
    <w:rsid w:val="004E1005"/>
    <w:rsid w:val="006E436D"/>
    <w:rsid w:val="00767D2E"/>
    <w:rsid w:val="007D5633"/>
    <w:rsid w:val="00817252"/>
    <w:rsid w:val="008D4FB9"/>
    <w:rsid w:val="00B9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bwmarino</cp:lastModifiedBy>
  <cp:revision>3</cp:revision>
  <dcterms:created xsi:type="dcterms:W3CDTF">2014-11-12T19:21:00Z</dcterms:created>
  <dcterms:modified xsi:type="dcterms:W3CDTF">2014-11-12T19:30:00Z</dcterms:modified>
</cp:coreProperties>
</file>