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42" w:rsidRPr="005259B2" w:rsidRDefault="003D3F42" w:rsidP="005259B2">
      <w:pPr>
        <w:spacing w:after="0" w:line="240" w:lineRule="auto"/>
        <w:ind w:right="-270"/>
        <w:jc w:val="center"/>
        <w:rPr>
          <w:rFonts w:ascii="Arial" w:hAnsi="Arial" w:cs="Arial"/>
          <w:b/>
          <w:sz w:val="26"/>
          <w:szCs w:val="26"/>
        </w:rPr>
      </w:pPr>
      <w:r w:rsidRPr="005259B2">
        <w:rPr>
          <w:rFonts w:ascii="Arial" w:hAnsi="Arial" w:cs="Arial"/>
          <w:b/>
          <w:sz w:val="26"/>
          <w:szCs w:val="26"/>
        </w:rPr>
        <w:t xml:space="preserve">Nutrition = </w:t>
      </w:r>
      <w:r w:rsidR="005259B2" w:rsidRPr="005259B2">
        <w:rPr>
          <w:rFonts w:ascii="Arial" w:hAnsi="Arial" w:cs="Arial"/>
          <w:b/>
          <w:sz w:val="26"/>
          <w:szCs w:val="26"/>
        </w:rPr>
        <w:t xml:space="preserve">Solutions to </w:t>
      </w:r>
      <w:r w:rsidRPr="005259B2">
        <w:rPr>
          <w:rFonts w:ascii="Arial" w:hAnsi="Arial" w:cs="Arial"/>
          <w:b/>
          <w:sz w:val="26"/>
          <w:szCs w:val="26"/>
        </w:rPr>
        <w:t>Healthy Aging and Long-Term Services and Supports</w:t>
      </w:r>
    </w:p>
    <w:p w:rsidR="001A499A" w:rsidRDefault="001A499A" w:rsidP="003D3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70C">
        <w:rPr>
          <w:rFonts w:ascii="Arial" w:hAnsi="Arial" w:cs="Arial"/>
          <w:noProof/>
          <w:color w:val="1177BB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E7CEC2C" wp14:editId="497D52EA">
            <wp:simplePos x="0" y="0"/>
            <wp:positionH relativeFrom="column">
              <wp:posOffset>2354580</wp:posOffset>
            </wp:positionH>
            <wp:positionV relativeFrom="paragraph">
              <wp:posOffset>136019</wp:posOffset>
            </wp:positionV>
            <wp:extent cx="1554480" cy="672336"/>
            <wp:effectExtent l="0" t="0" r="7620" b="0"/>
            <wp:wrapNone/>
            <wp:docPr id="1" name="Picture 1" descr="2015 White House Conference on Agin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White House Conference on Agin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7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42" w:rsidRDefault="003D3F42" w:rsidP="003D3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3F42" w:rsidRPr="00E6670C" w:rsidRDefault="003D3F42" w:rsidP="003D3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3F42" w:rsidRPr="00E6670C" w:rsidRDefault="003D3F42" w:rsidP="003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3F42" w:rsidRPr="00E6670C" w:rsidRDefault="003D3F42" w:rsidP="003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499A" w:rsidRDefault="001A499A" w:rsidP="001A49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70C">
        <w:rPr>
          <w:rFonts w:ascii="Arial" w:hAnsi="Arial" w:cs="Arial"/>
          <w:b/>
          <w:sz w:val="24"/>
          <w:szCs w:val="24"/>
        </w:rPr>
        <w:t>National Webinar</w:t>
      </w:r>
    </w:p>
    <w:p w:rsidR="003D3F42" w:rsidRDefault="003D3F42" w:rsidP="003D3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3F42" w:rsidRPr="00E6670C" w:rsidRDefault="003D3F42" w:rsidP="003D3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70C">
        <w:rPr>
          <w:rFonts w:ascii="Arial" w:hAnsi="Arial" w:cs="Arial"/>
          <w:b/>
          <w:sz w:val="24"/>
          <w:szCs w:val="24"/>
        </w:rPr>
        <w:t>January 29, 2015, 2</w:t>
      </w:r>
      <w:r>
        <w:rPr>
          <w:rFonts w:ascii="Arial" w:hAnsi="Arial" w:cs="Arial"/>
          <w:b/>
          <w:sz w:val="24"/>
          <w:szCs w:val="24"/>
        </w:rPr>
        <w:t>:00</w:t>
      </w:r>
      <w:r w:rsidRPr="00E6670C">
        <w:rPr>
          <w:rFonts w:ascii="Arial" w:hAnsi="Arial" w:cs="Arial"/>
          <w:b/>
          <w:sz w:val="24"/>
          <w:szCs w:val="24"/>
        </w:rPr>
        <w:t>-3:30 pm EST</w:t>
      </w:r>
    </w:p>
    <w:p w:rsidR="003D3F42" w:rsidRPr="003D3F42" w:rsidRDefault="003D3F42" w:rsidP="003D3F42">
      <w:pPr>
        <w:spacing w:after="0" w:line="240" w:lineRule="auto"/>
        <w:rPr>
          <w:rFonts w:ascii="Arial" w:hAnsi="Arial" w:cs="Arial"/>
          <w:szCs w:val="24"/>
        </w:rPr>
      </w:pPr>
    </w:p>
    <w:p w:rsidR="003D3F42" w:rsidRPr="003D3F42" w:rsidRDefault="003D3F42" w:rsidP="003D3F42">
      <w:pPr>
        <w:spacing w:after="0" w:line="240" w:lineRule="auto"/>
        <w:contextualSpacing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</w:pPr>
      <w:r w:rsidRPr="003D3F4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The White House Conference on Aging is held every decade</w:t>
      </w:r>
      <w:r w:rsidR="001A499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and</w:t>
      </w:r>
      <w:r w:rsidRPr="003D3F4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bring</w:t>
      </w:r>
      <w:r w:rsidR="001A499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s</w:t>
      </w:r>
      <w:r w:rsidRPr="003D3F4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together experts and stakeholders in the area of older adults and aging.  The Conference also p</w:t>
      </w:r>
      <w:r w:rsidRPr="003D3F42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  <w:t>rovides a forum to discuss age-related polic</w:t>
      </w:r>
      <w:r w:rsidR="005A53E1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  <w:t>ies</w:t>
      </w:r>
      <w:r w:rsidRPr="003D3F42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  <w:t>, influence decision makers at state and federal levels, and guide the public and private sectors in contributing to the well</w:t>
      </w:r>
      <w:r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  <w:t>-</w:t>
      </w:r>
      <w:r w:rsidRPr="003D3F42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  <w:t>being of older adults.</w:t>
      </w:r>
    </w:p>
    <w:p w:rsidR="003D3F42" w:rsidRPr="003D3F42" w:rsidRDefault="003D3F42" w:rsidP="003D3F4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3F42" w:rsidRPr="003D3F42" w:rsidRDefault="003D3F42" w:rsidP="003D3F4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 xml:space="preserve">This is the 2nd in a series of official webinars presented by the </w:t>
      </w:r>
      <w:r w:rsidRPr="008B2464">
        <w:rPr>
          <w:rFonts w:ascii="Arial" w:hAnsi="Arial" w:cs="Arial"/>
          <w:i/>
          <w:sz w:val="20"/>
          <w:szCs w:val="24"/>
        </w:rPr>
        <w:t>2015 White House Conference on Aging</w:t>
      </w:r>
      <w:r w:rsidRPr="003D3F42">
        <w:rPr>
          <w:rFonts w:ascii="Arial" w:hAnsi="Arial" w:cs="Arial"/>
          <w:sz w:val="20"/>
          <w:szCs w:val="24"/>
        </w:rPr>
        <w:t xml:space="preserve"> addressing important issues for older Americans.  The </w:t>
      </w:r>
      <w:r w:rsidRPr="008B2464">
        <w:rPr>
          <w:rFonts w:ascii="Arial" w:hAnsi="Arial" w:cs="Arial"/>
          <w:i/>
          <w:sz w:val="20"/>
          <w:szCs w:val="24"/>
        </w:rPr>
        <w:t>2015 White House Conference on Aging</w:t>
      </w:r>
      <w:r w:rsidRPr="003D3F42">
        <w:rPr>
          <w:rFonts w:ascii="Arial" w:hAnsi="Arial" w:cs="Arial"/>
          <w:sz w:val="20"/>
          <w:szCs w:val="24"/>
        </w:rPr>
        <w:t xml:space="preserve"> has identified Healthy Aging and Long-Term Services and Supports as 2 of their 4 priority areas. </w:t>
      </w:r>
      <w:r w:rsidR="005259B2">
        <w:rPr>
          <w:rFonts w:ascii="Arial" w:hAnsi="Arial" w:cs="Arial"/>
          <w:sz w:val="20"/>
          <w:szCs w:val="24"/>
        </w:rPr>
        <w:t>This webinar outlines how n</w:t>
      </w:r>
      <w:r w:rsidRPr="003D3F42">
        <w:rPr>
          <w:rFonts w:ascii="Arial" w:hAnsi="Arial" w:cs="Arial"/>
          <w:sz w:val="20"/>
          <w:szCs w:val="24"/>
        </w:rPr>
        <w:t xml:space="preserve">utrition </w:t>
      </w:r>
      <w:r w:rsidR="005259B2">
        <w:rPr>
          <w:rFonts w:ascii="Arial" w:hAnsi="Arial" w:cs="Arial"/>
          <w:sz w:val="20"/>
          <w:szCs w:val="24"/>
        </w:rPr>
        <w:t xml:space="preserve">is integral to these </w:t>
      </w:r>
      <w:r w:rsidRPr="003D3F42">
        <w:rPr>
          <w:rFonts w:ascii="Arial" w:hAnsi="Arial" w:cs="Arial"/>
          <w:sz w:val="20"/>
          <w:szCs w:val="24"/>
        </w:rPr>
        <w:t xml:space="preserve">areas and </w:t>
      </w:r>
      <w:r w:rsidR="008B2464">
        <w:rPr>
          <w:rFonts w:ascii="Arial" w:hAnsi="Arial" w:cs="Arial"/>
          <w:sz w:val="20"/>
          <w:szCs w:val="24"/>
        </w:rPr>
        <w:t xml:space="preserve">how </w:t>
      </w:r>
      <w:r w:rsidRPr="003D3F42">
        <w:rPr>
          <w:rFonts w:ascii="Arial" w:hAnsi="Arial" w:cs="Arial"/>
          <w:sz w:val="20"/>
          <w:szCs w:val="24"/>
        </w:rPr>
        <w:t>nutrition interventions can offer low-cost and effective solutions to strengthening the Patient Protection and Affordable Care Act.</w:t>
      </w:r>
    </w:p>
    <w:p w:rsidR="003D3F42" w:rsidRPr="003D3F42" w:rsidRDefault="003D3F42" w:rsidP="003D3F4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D3F42" w:rsidRPr="003D3F42" w:rsidRDefault="003D3F42" w:rsidP="003D3F4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Topics for this national nutrition webinar include:</w:t>
      </w:r>
    </w:p>
    <w:p w:rsidR="003D3F42" w:rsidRPr="003D3F42" w:rsidRDefault="003D3F42" w:rsidP="003D3F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The importance of nutrition programs for older adults</w:t>
      </w:r>
      <w:r w:rsidR="005259B2">
        <w:rPr>
          <w:rFonts w:ascii="Arial" w:hAnsi="Arial" w:cs="Arial"/>
          <w:sz w:val="20"/>
          <w:szCs w:val="24"/>
        </w:rPr>
        <w:t xml:space="preserve"> and </w:t>
      </w:r>
      <w:r w:rsidR="005A53E1">
        <w:rPr>
          <w:rFonts w:ascii="Arial" w:hAnsi="Arial" w:cs="Arial"/>
          <w:sz w:val="20"/>
          <w:szCs w:val="24"/>
        </w:rPr>
        <w:t xml:space="preserve">the need for innovation and expansion </w:t>
      </w:r>
      <w:r w:rsidRPr="003D3F42">
        <w:rPr>
          <w:rFonts w:ascii="Arial" w:hAnsi="Arial" w:cs="Arial"/>
          <w:sz w:val="20"/>
          <w:szCs w:val="24"/>
        </w:rPr>
        <w:t>with an emphasis on the Older Americans Act</w:t>
      </w:r>
    </w:p>
    <w:p w:rsidR="003D3F42" w:rsidRPr="003D3F42" w:rsidRDefault="003D3F42" w:rsidP="003D3F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 xml:space="preserve">The significance of nutrition in chronic disease and as a key indicator of older adult health and </w:t>
      </w:r>
      <w:r w:rsidR="005A53E1">
        <w:rPr>
          <w:rFonts w:ascii="Arial" w:hAnsi="Arial" w:cs="Arial"/>
          <w:sz w:val="20"/>
          <w:szCs w:val="24"/>
        </w:rPr>
        <w:t>opportunities for advancing th</w:t>
      </w:r>
      <w:r w:rsidRPr="003D3F42">
        <w:rPr>
          <w:rFonts w:ascii="Arial" w:hAnsi="Arial" w:cs="Arial"/>
          <w:sz w:val="20"/>
          <w:szCs w:val="24"/>
        </w:rPr>
        <w:t xml:space="preserve">e value of registered dietitian nutritionists </w:t>
      </w:r>
      <w:r w:rsidR="008B2464">
        <w:rPr>
          <w:rFonts w:ascii="Arial" w:hAnsi="Arial" w:cs="Arial"/>
          <w:sz w:val="20"/>
          <w:szCs w:val="24"/>
        </w:rPr>
        <w:t xml:space="preserve">in partnership with other healthcare professionals, </w:t>
      </w:r>
      <w:r w:rsidRPr="003D3F42">
        <w:rPr>
          <w:rFonts w:ascii="Arial" w:hAnsi="Arial" w:cs="Arial"/>
          <w:sz w:val="20"/>
          <w:szCs w:val="24"/>
        </w:rPr>
        <w:t>for health promotion and disease prevention among older adults</w:t>
      </w:r>
    </w:p>
    <w:p w:rsidR="0062098C" w:rsidRPr="0062098C" w:rsidRDefault="0062098C" w:rsidP="0062098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2098C">
        <w:rPr>
          <w:rFonts w:ascii="Arial" w:hAnsi="Arial" w:cs="Arial"/>
          <w:sz w:val="20"/>
        </w:rPr>
        <w:t xml:space="preserve">The growing issue of malnutrition in older adults, local quality improvement solutions to </w:t>
      </w:r>
      <w:r w:rsidR="005A53E1">
        <w:rPr>
          <w:rFonts w:ascii="Arial" w:hAnsi="Arial" w:cs="Arial"/>
          <w:sz w:val="20"/>
        </w:rPr>
        <w:t>advance</w:t>
      </w:r>
      <w:r w:rsidRPr="0062098C">
        <w:rPr>
          <w:rFonts w:ascii="Arial" w:hAnsi="Arial" w:cs="Arial"/>
          <w:sz w:val="20"/>
        </w:rPr>
        <w:t xml:space="preserve"> their health by integrating malnutrition screening and intervention in healthcare delivery systems</w:t>
      </w:r>
      <w:r w:rsidR="005A53E1">
        <w:rPr>
          <w:rFonts w:ascii="Arial" w:hAnsi="Arial" w:cs="Arial"/>
          <w:sz w:val="20"/>
        </w:rPr>
        <w:t>,</w:t>
      </w:r>
      <w:r w:rsidRPr="0062098C">
        <w:rPr>
          <w:rFonts w:ascii="Arial" w:hAnsi="Arial" w:cs="Arial"/>
          <w:sz w:val="20"/>
        </w:rPr>
        <w:t xml:space="preserve"> and the use of malnutrition quality measures in public and private accountability programs.  </w:t>
      </w:r>
    </w:p>
    <w:p w:rsidR="003D3F42" w:rsidRPr="003D3F42" w:rsidRDefault="003D3F42" w:rsidP="003D3F4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The webinar will feature: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Cs w:val="24"/>
        </w:rPr>
      </w:pPr>
      <w:r w:rsidRPr="003D3F42">
        <w:rPr>
          <w:rFonts w:ascii="Arial" w:hAnsi="Arial" w:cs="Arial"/>
          <w:b/>
          <w:szCs w:val="24"/>
        </w:rPr>
        <w:t>Nora Super</w:t>
      </w:r>
      <w:r w:rsidRPr="003D3F42">
        <w:rPr>
          <w:rFonts w:ascii="Arial" w:hAnsi="Arial" w:cs="Arial"/>
          <w:szCs w:val="24"/>
        </w:rPr>
        <w:t xml:space="preserve"> 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Executive Director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2015 White House Conference on Aging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b/>
          <w:szCs w:val="24"/>
        </w:rPr>
      </w:pP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b/>
          <w:szCs w:val="24"/>
        </w:rPr>
      </w:pPr>
      <w:r w:rsidRPr="003D3F4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C0C9965" wp14:editId="0A65A47E">
            <wp:simplePos x="0" y="0"/>
            <wp:positionH relativeFrom="column">
              <wp:posOffset>60960</wp:posOffset>
            </wp:positionH>
            <wp:positionV relativeFrom="paragraph">
              <wp:posOffset>36195</wp:posOffset>
            </wp:positionV>
            <wp:extent cx="586740" cy="586740"/>
            <wp:effectExtent l="0" t="0" r="3810" b="3810"/>
            <wp:wrapNone/>
            <wp:docPr id="3" name="Picture 3" descr="Paul Dow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Dow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F42">
        <w:rPr>
          <w:rFonts w:ascii="Arial" w:hAnsi="Arial" w:cs="Arial"/>
          <w:b/>
          <w:szCs w:val="24"/>
        </w:rPr>
        <w:t>Paul Downey</w:t>
      </w:r>
    </w:p>
    <w:p w:rsidR="005B6E05" w:rsidRPr="005B6E05" w:rsidRDefault="005B6E05" w:rsidP="005B6E05">
      <w:pPr>
        <w:spacing w:after="0" w:line="240" w:lineRule="auto"/>
        <w:ind w:left="1350" w:right="-360" w:hanging="180"/>
        <w:rPr>
          <w:rFonts w:ascii="Arial" w:hAnsi="Arial" w:cs="Arial"/>
          <w:sz w:val="20"/>
        </w:rPr>
      </w:pPr>
      <w:r w:rsidRPr="005B6E05">
        <w:rPr>
          <w:rFonts w:ascii="Arial" w:hAnsi="Arial" w:cs="Arial"/>
          <w:sz w:val="20"/>
        </w:rPr>
        <w:t xml:space="preserve">President and CEO, Serving Seniors, San Diego, California </w:t>
      </w:r>
    </w:p>
    <w:p w:rsidR="005B6E05" w:rsidRPr="005B6E05" w:rsidRDefault="005B6E05" w:rsidP="005B6E05">
      <w:pPr>
        <w:spacing w:after="0" w:line="240" w:lineRule="auto"/>
        <w:ind w:left="1350" w:hanging="180"/>
        <w:rPr>
          <w:rFonts w:ascii="Arial" w:hAnsi="Arial" w:cs="Arial"/>
          <w:sz w:val="20"/>
        </w:rPr>
      </w:pPr>
      <w:r w:rsidRPr="005B6E05">
        <w:rPr>
          <w:rFonts w:ascii="Arial" w:hAnsi="Arial" w:cs="Arial"/>
          <w:sz w:val="20"/>
        </w:rPr>
        <w:t>Immediate Past President, National Association of Nutrition and Aging Services Programs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Cs w:val="24"/>
        </w:rPr>
      </w:pP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b/>
          <w:szCs w:val="24"/>
        </w:rPr>
      </w:pPr>
      <w:r w:rsidRPr="003D3F4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9406087" wp14:editId="55C3E299">
            <wp:simplePos x="0" y="0"/>
            <wp:positionH relativeFrom="column">
              <wp:posOffset>60960</wp:posOffset>
            </wp:positionH>
            <wp:positionV relativeFrom="paragraph">
              <wp:posOffset>55245</wp:posOffset>
            </wp:positionV>
            <wp:extent cx="580190" cy="594090"/>
            <wp:effectExtent l="0" t="0" r="0" b="0"/>
            <wp:wrapNone/>
            <wp:docPr id="4" name="Picture 4" descr="http://depts.washington.edu/waaction/partners/documents/Peppon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waaction/partners/documents/Peppones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51"/>
                    <a:stretch/>
                  </pic:blipFill>
                  <pic:spPr bwMode="auto">
                    <a:xfrm>
                      <a:off x="0" y="0"/>
                      <a:ext cx="580435" cy="5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F42">
        <w:rPr>
          <w:rFonts w:ascii="Arial" w:hAnsi="Arial" w:cs="Arial"/>
          <w:b/>
          <w:szCs w:val="24"/>
        </w:rPr>
        <w:t>Martha Peppones, MS, RD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Director of Nutrition Services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Senior Services of Snohomish County, Washington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Cs w:val="24"/>
        </w:rPr>
      </w:pPr>
    </w:p>
    <w:p w:rsidR="003D3F42" w:rsidRPr="003D3F42" w:rsidRDefault="003D3F42" w:rsidP="003D3F42">
      <w:pPr>
        <w:spacing w:after="0" w:line="240" w:lineRule="auto"/>
        <w:ind w:left="630" w:firstLine="540"/>
        <w:rPr>
          <w:rFonts w:ascii="Arial" w:hAnsi="Arial" w:cs="Arial"/>
          <w:szCs w:val="24"/>
        </w:rPr>
      </w:pPr>
      <w:r w:rsidRPr="003D3F4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6D8F354" wp14:editId="5BFBBEFF">
            <wp:simplePos x="0" y="0"/>
            <wp:positionH relativeFrom="column">
              <wp:posOffset>83820</wp:posOffset>
            </wp:positionH>
            <wp:positionV relativeFrom="paragraph">
              <wp:posOffset>89535</wp:posOffset>
            </wp:positionV>
            <wp:extent cx="556260" cy="556260"/>
            <wp:effectExtent l="0" t="0" r="0" b="0"/>
            <wp:wrapNone/>
            <wp:docPr id="5" name="Picture 5" descr="C:\Users\arensme\AppData\Local\Microsoft\Windows\Temporary Internet Files\Content.Outlook\DEWNRWXS\Kristi_Mitchell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nsme\AppData\Local\Microsoft\Windows\Temporary Internet Files\Content.Outlook\DEWNRWXS\Kristi_Mitchell_0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F42">
        <w:rPr>
          <w:rFonts w:ascii="Arial" w:hAnsi="Arial" w:cs="Arial"/>
          <w:b/>
          <w:szCs w:val="24"/>
        </w:rPr>
        <w:t>Kristi Mitchell</w:t>
      </w:r>
    </w:p>
    <w:p w:rsidR="003D3F42" w:rsidRPr="003D3F42" w:rsidRDefault="003D3F42" w:rsidP="003D3F42">
      <w:pPr>
        <w:spacing w:after="0" w:line="240" w:lineRule="auto"/>
        <w:ind w:left="1350" w:hanging="180"/>
        <w:rPr>
          <w:rFonts w:ascii="Arial" w:hAnsi="Arial" w:cs="Arial"/>
          <w:sz w:val="20"/>
          <w:szCs w:val="24"/>
        </w:rPr>
      </w:pPr>
      <w:r w:rsidRPr="003D3F42">
        <w:rPr>
          <w:rFonts w:ascii="Arial" w:hAnsi="Arial" w:cs="Arial"/>
          <w:sz w:val="20"/>
          <w:szCs w:val="24"/>
        </w:rPr>
        <w:t>Senior Vice President</w:t>
      </w:r>
    </w:p>
    <w:p w:rsidR="003D3F42" w:rsidRPr="00E6670C" w:rsidRDefault="003D3F42" w:rsidP="003D3F42">
      <w:pPr>
        <w:spacing w:after="0" w:line="240" w:lineRule="auto"/>
        <w:ind w:left="1350" w:hanging="180"/>
        <w:rPr>
          <w:rFonts w:ascii="Arial" w:hAnsi="Arial" w:cs="Arial"/>
          <w:szCs w:val="24"/>
        </w:rPr>
      </w:pPr>
      <w:proofErr w:type="spellStart"/>
      <w:r w:rsidRPr="003D3F42">
        <w:rPr>
          <w:rFonts w:ascii="Arial" w:hAnsi="Arial" w:cs="Arial"/>
          <w:sz w:val="20"/>
          <w:szCs w:val="24"/>
        </w:rPr>
        <w:t>Avalere</w:t>
      </w:r>
      <w:proofErr w:type="spellEnd"/>
      <w:r w:rsidRPr="003D3F42">
        <w:rPr>
          <w:rFonts w:ascii="Arial" w:hAnsi="Arial" w:cs="Arial"/>
          <w:sz w:val="20"/>
          <w:szCs w:val="24"/>
        </w:rPr>
        <w:t xml:space="preserve"> Health, Washington, D.C</w:t>
      </w:r>
      <w:r w:rsidRPr="00E6670C">
        <w:rPr>
          <w:rFonts w:ascii="Arial" w:hAnsi="Arial" w:cs="Arial"/>
          <w:szCs w:val="24"/>
        </w:rPr>
        <w:t>.</w:t>
      </w:r>
    </w:p>
    <w:p w:rsidR="003D3F42" w:rsidRPr="00E6670C" w:rsidRDefault="003D3F42" w:rsidP="003D3F42">
      <w:pPr>
        <w:spacing w:after="0" w:line="240" w:lineRule="auto"/>
        <w:ind w:left="1260" w:hanging="270"/>
        <w:rPr>
          <w:rFonts w:ascii="Arial" w:hAnsi="Arial" w:cs="Arial"/>
          <w:sz w:val="24"/>
          <w:szCs w:val="24"/>
        </w:rPr>
      </w:pPr>
    </w:p>
    <w:p w:rsidR="005948DF" w:rsidRDefault="005948DF" w:rsidP="001A499A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5948DF" w:rsidRPr="007931ED" w:rsidRDefault="005948DF" w:rsidP="00DB7A33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7931ED">
        <w:rPr>
          <w:rFonts w:ascii="Arial" w:hAnsi="Arial" w:cs="Arial"/>
          <w:b/>
          <w:sz w:val="18"/>
          <w:szCs w:val="24"/>
        </w:rPr>
        <w:t xml:space="preserve">Continuing Education Units: </w:t>
      </w:r>
      <w:r w:rsidR="00DB7A33" w:rsidRPr="007931ED">
        <w:rPr>
          <w:rFonts w:ascii="Arial" w:hAnsi="Arial" w:cs="Arial"/>
          <w:b/>
          <w:sz w:val="18"/>
          <w:szCs w:val="24"/>
        </w:rPr>
        <w:t xml:space="preserve">1.5 Dietitian CPEU, </w:t>
      </w:r>
      <w:r w:rsidRPr="007931ED">
        <w:rPr>
          <w:rFonts w:ascii="Arial" w:hAnsi="Arial" w:cs="Arial"/>
          <w:b/>
          <w:sz w:val="18"/>
          <w:szCs w:val="24"/>
        </w:rPr>
        <w:t>1.5 Nurse Contact Hours</w:t>
      </w:r>
      <w:r w:rsidR="00DB7A33" w:rsidRPr="007931ED">
        <w:rPr>
          <w:rFonts w:ascii="Arial" w:hAnsi="Arial" w:cs="Arial"/>
          <w:b/>
          <w:sz w:val="18"/>
          <w:szCs w:val="24"/>
        </w:rPr>
        <w:t>*</w:t>
      </w:r>
    </w:p>
    <w:p w:rsidR="005948DF" w:rsidRDefault="005948DF" w:rsidP="001A499A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533F3C" w:rsidRDefault="00533F3C" w:rsidP="00DB7A33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1A499A" w:rsidRDefault="005948DF" w:rsidP="00DB7A33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</w:t>
      </w:r>
      <w:r w:rsidR="001A499A" w:rsidRPr="001A499A">
        <w:rPr>
          <w:rFonts w:ascii="Arial" w:hAnsi="Arial" w:cs="Arial"/>
          <w:sz w:val="18"/>
          <w:szCs w:val="24"/>
        </w:rPr>
        <w:t xml:space="preserve">he webinar is co-hosted by </w:t>
      </w:r>
      <w:hyperlink r:id="rId10" w:history="1">
        <w:r w:rsidR="001A499A" w:rsidRPr="001A499A">
          <w:rPr>
            <w:rFonts w:ascii="Arial" w:hAnsi="Arial" w:cs="Arial"/>
            <w:color w:val="0000FF" w:themeColor="hyperlink"/>
            <w:sz w:val="18"/>
            <w:szCs w:val="24"/>
            <w:u w:val="single"/>
          </w:rPr>
          <w:t>The Academy of Nutrition and Dietetics</w:t>
        </w:r>
      </w:hyperlink>
      <w:r w:rsidR="001A499A" w:rsidRPr="001A499A">
        <w:rPr>
          <w:rFonts w:ascii="Arial" w:hAnsi="Arial" w:cs="Arial"/>
          <w:sz w:val="18"/>
          <w:szCs w:val="24"/>
        </w:rPr>
        <w:t xml:space="preserve"> and the </w:t>
      </w:r>
      <w:hyperlink r:id="rId11" w:history="1">
        <w:r w:rsidR="001A499A" w:rsidRPr="001A499A">
          <w:rPr>
            <w:rFonts w:ascii="Arial" w:hAnsi="Arial" w:cs="Arial"/>
            <w:color w:val="0000FF" w:themeColor="hyperlink"/>
            <w:sz w:val="18"/>
            <w:szCs w:val="24"/>
            <w:u w:val="single"/>
          </w:rPr>
          <w:t>National Association of Nutrition and Aging Services Programs</w:t>
        </w:r>
      </w:hyperlink>
      <w:r w:rsidR="001A499A" w:rsidRPr="001A499A">
        <w:rPr>
          <w:rFonts w:ascii="Arial" w:hAnsi="Arial" w:cs="Arial"/>
          <w:sz w:val="18"/>
          <w:szCs w:val="24"/>
        </w:rPr>
        <w:t xml:space="preserve">, with support from </w:t>
      </w:r>
      <w:hyperlink r:id="rId12" w:history="1">
        <w:r w:rsidR="001A499A" w:rsidRPr="001A499A">
          <w:rPr>
            <w:rFonts w:ascii="Arial" w:hAnsi="Arial" w:cs="Arial"/>
            <w:color w:val="0000FF" w:themeColor="hyperlink"/>
            <w:sz w:val="18"/>
            <w:szCs w:val="24"/>
            <w:u w:val="single"/>
          </w:rPr>
          <w:t>Abbott</w:t>
        </w:r>
      </w:hyperlink>
      <w:r w:rsidR="001A499A" w:rsidRPr="001A499A">
        <w:rPr>
          <w:rFonts w:ascii="Arial" w:hAnsi="Arial" w:cs="Arial"/>
          <w:sz w:val="18"/>
          <w:szCs w:val="24"/>
        </w:rPr>
        <w:t>.</w:t>
      </w:r>
    </w:p>
    <w:p w:rsidR="00DB7A33" w:rsidRDefault="00533F3C" w:rsidP="001A499A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F7F4F9" wp14:editId="7B7DBF02">
            <wp:simplePos x="0" y="0"/>
            <wp:positionH relativeFrom="column">
              <wp:posOffset>3634740</wp:posOffset>
            </wp:positionH>
            <wp:positionV relativeFrom="paragraph">
              <wp:posOffset>31115</wp:posOffset>
            </wp:positionV>
            <wp:extent cx="977265" cy="487680"/>
            <wp:effectExtent l="0" t="0" r="0" b="7620"/>
            <wp:wrapNone/>
            <wp:docPr id="8" name="Picture 8" descr="C:\Users\arensme\AppData\Local\Microsoft\Windows\Temporary Internet Files\Content.Outlook\DEWNRWXS\a_sig_horiz_2c_b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nsme\AppData\Local\Microsoft\Windows\Temporary Internet Files\Content.Outlook\DEWNRWXS\a_sig_horiz_2c_bk_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2F2C2F" wp14:editId="4ABEE8DB">
            <wp:simplePos x="0" y="0"/>
            <wp:positionH relativeFrom="column">
              <wp:posOffset>2773680</wp:posOffset>
            </wp:positionH>
            <wp:positionV relativeFrom="paragraph">
              <wp:posOffset>72390</wp:posOffset>
            </wp:positionV>
            <wp:extent cx="451485" cy="541020"/>
            <wp:effectExtent l="0" t="0" r="5715" b="0"/>
            <wp:wrapNone/>
            <wp:docPr id="7" name="Picture 7" descr="C:\Users\arensme\AppData\Local\Microsoft\Windows\Temporary Internet Files\Content.Outlook\DEWNRWXS\NAN-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nsme\AppData\Local\Microsoft\Windows\Temporary Internet Files\Content.Outlook\DEWNRWXS\NAN-logo-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33" w:rsidRDefault="00DB7A33" w:rsidP="001A499A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E667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49B964" wp14:editId="6A59E5DA">
            <wp:simplePos x="0" y="0"/>
            <wp:positionH relativeFrom="column">
              <wp:posOffset>922020</wp:posOffset>
            </wp:positionH>
            <wp:positionV relativeFrom="paragraph">
              <wp:posOffset>60960</wp:posOffset>
            </wp:positionV>
            <wp:extent cx="1463040" cy="255905"/>
            <wp:effectExtent l="0" t="0" r="3810" b="0"/>
            <wp:wrapNone/>
            <wp:docPr id="6" name="Picture 6" descr="C:\Users\arensme\AppData\Local\Microsoft\Windows\Temporary Internet Files\Content.Outlook\DEWNRWXS\Academy-of-Nutrition-and-Dietetic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nsme\AppData\Local\Microsoft\Windows\Temporary Internet Files\Content.Outlook\DEWNRWXS\Academy-of-Nutrition-and-Dietetic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33" w:rsidRDefault="00DB7A33" w:rsidP="001A499A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DB7A33" w:rsidRDefault="00DB7A33" w:rsidP="001A499A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DB7A33" w:rsidRDefault="00DB7A33" w:rsidP="001A499A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533F3C" w:rsidRDefault="00533F3C" w:rsidP="001A499A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DB7A33" w:rsidRDefault="00DB7A33" w:rsidP="00DB7A33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F32AFD" w:rsidRDefault="00DB7A33" w:rsidP="00533F3C">
      <w:pPr>
        <w:spacing w:after="0" w:line="240" w:lineRule="auto"/>
        <w:ind w:right="-630"/>
        <w:rPr>
          <w:rFonts w:ascii="Arial" w:hAnsi="Arial" w:cs="Arial"/>
          <w:sz w:val="14"/>
          <w:szCs w:val="24"/>
        </w:rPr>
      </w:pPr>
      <w:r w:rsidRPr="00DB7A33">
        <w:rPr>
          <w:rFonts w:ascii="Arial" w:hAnsi="Arial" w:cs="Arial"/>
          <w:sz w:val="14"/>
          <w:szCs w:val="24"/>
        </w:rPr>
        <w:t>*Abbott Nutrition Health Institute is an approved provider of continuing nursing education by the California Board of Registered Nursing</w:t>
      </w:r>
      <w:r w:rsidR="00533F3C">
        <w:rPr>
          <w:rFonts w:ascii="Arial" w:hAnsi="Arial" w:cs="Arial"/>
          <w:sz w:val="14"/>
          <w:szCs w:val="24"/>
        </w:rPr>
        <w:t>,</w:t>
      </w:r>
      <w:r w:rsidRPr="00DB7A33">
        <w:rPr>
          <w:rFonts w:ascii="Arial" w:hAnsi="Arial" w:cs="Arial"/>
          <w:sz w:val="14"/>
          <w:szCs w:val="24"/>
        </w:rPr>
        <w:t xml:space="preserve"> Provider #CEP11213</w:t>
      </w:r>
    </w:p>
    <w:p w:rsidR="00EB1554" w:rsidRDefault="00EB1554" w:rsidP="00EB1554">
      <w:pPr>
        <w:rPr>
          <w:color w:val="1F497D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Topic: The Role of Nutrition in Healthy Aging </w:t>
      </w:r>
      <w:r>
        <w:rPr>
          <w:rFonts w:ascii="Tahoma" w:hAnsi="Tahoma" w:cs="Tahoma"/>
          <w:sz w:val="20"/>
          <w:szCs w:val="20"/>
        </w:rPr>
        <w:br/>
        <w:t xml:space="preserve">Date: Thursday, January 29, 2015 </w:t>
      </w:r>
      <w:r>
        <w:rPr>
          <w:rFonts w:ascii="Tahoma" w:hAnsi="Tahoma" w:cs="Tahoma"/>
          <w:sz w:val="20"/>
          <w:szCs w:val="20"/>
        </w:rPr>
        <w:br/>
        <w:t xml:space="preserve">Time: 1:00 pm, Central Standard Time (Chicago, GMT-06:00)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register for this meeting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https://eatright.webex.com/eatright/j.php?RGID=rdaafb5b4c987c4ae1819f34083e84010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Register for the meeting.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Once the host approves your request, you will receive a confirmation email with instructions for joining the meeting.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To view in other time zones or languages, please click the link:  </w:t>
      </w:r>
      <w:hyperlink r:id="rId1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https://eatright.webex.com/eatright/j.php?RGID=r78c831b71a22a115f6f5d40c3b6528c1</w:t>
        </w:r>
      </w:hyperlink>
    </w:p>
    <w:p w:rsidR="00EB1554" w:rsidRPr="00DB7A33" w:rsidRDefault="00EB1554" w:rsidP="00533F3C">
      <w:pPr>
        <w:spacing w:after="0" w:line="240" w:lineRule="auto"/>
        <w:ind w:right="-630"/>
        <w:rPr>
          <w:sz w:val="20"/>
        </w:rPr>
      </w:pPr>
      <w:bookmarkStart w:id="0" w:name="_GoBack"/>
      <w:bookmarkEnd w:id="0"/>
    </w:p>
    <w:sectPr w:rsidR="00EB1554" w:rsidRPr="00DB7A33" w:rsidSect="00DB7A3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B3E"/>
    <w:multiLevelType w:val="hybridMultilevel"/>
    <w:tmpl w:val="003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2A99"/>
    <w:multiLevelType w:val="hybridMultilevel"/>
    <w:tmpl w:val="E4C03CE4"/>
    <w:lvl w:ilvl="0" w:tplc="672099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BB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0A8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14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A31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C9F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CB1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A6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C8B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76767"/>
    <w:multiLevelType w:val="hybridMultilevel"/>
    <w:tmpl w:val="6E7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2"/>
    <w:rsid w:val="00075588"/>
    <w:rsid w:val="001A499A"/>
    <w:rsid w:val="003D3F42"/>
    <w:rsid w:val="005259B2"/>
    <w:rsid w:val="00533F3C"/>
    <w:rsid w:val="005948DF"/>
    <w:rsid w:val="005A53E1"/>
    <w:rsid w:val="005B6E05"/>
    <w:rsid w:val="0062098C"/>
    <w:rsid w:val="007931ED"/>
    <w:rsid w:val="008B2464"/>
    <w:rsid w:val="00927005"/>
    <w:rsid w:val="00DB7A33"/>
    <w:rsid w:val="00EB1554"/>
    <w:rsid w:val="00EE56FA"/>
    <w:rsid w:val="00F26ABB"/>
    <w:rsid w:val="00F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6B311-169B-4BC7-AFBB-7B6AED2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15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bbott.com" TargetMode="External"/><Relationship Id="rId17" Type="http://schemas.openxmlformats.org/officeDocument/2006/relationships/hyperlink" Target="https://eatright.webex.com/eatright/j.php?RGID=r78c831b71a22a115f6f5d40c3b6528c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tright.webex.com/eatright/j.php?RGID=rdaafb5b4c987c4ae1819f34083e840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nasp.org" TargetMode="External"/><Relationship Id="rId5" Type="http://schemas.openxmlformats.org/officeDocument/2006/relationships/hyperlink" Target="http://www.whitehouseconferenceonaging.gov/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www.eatright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Arensberg, Mary E</dc:creator>
  <cp:lastModifiedBy>Stefanie Winston</cp:lastModifiedBy>
  <cp:revision>3</cp:revision>
  <cp:lastPrinted>2015-01-09T17:09:00Z</cp:lastPrinted>
  <dcterms:created xsi:type="dcterms:W3CDTF">2015-01-09T21:00:00Z</dcterms:created>
  <dcterms:modified xsi:type="dcterms:W3CDTF">2015-01-12T17:39:00Z</dcterms:modified>
</cp:coreProperties>
</file>